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DANH MỤC TÀI LIỆU ÔN TẬP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LĨNH VỰC CÔNG TÁC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TUYÊN GIÁO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-----</w:t>
      </w:r>
    </w:p>
    <w:p>
      <w:pPr>
        <w:spacing w:before="120" w:after="0" w:line="288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TÀI LIỆU ÔN THI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Chỉ thị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CT/TW ngày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của Ban Bí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ư về “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tiếp tục đổi mới và nâng cao chất lượng, hiệu quả công tác tuyên truyền miệng trong t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ình hình mới”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Chỉ thị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CT/TU, 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2016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“về 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ăng cường sự 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ãnh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đạo của Đảng đối với vấn đề an to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àn thực phẩm trong tình hình mới”.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Chỉ thị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CT/TW 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của Ban Bí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Trung ương Đảng (khóa XII) về “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tiếp tục tăng cường, nâng cao chất lượng nghiên cứu, biên soạn, tuyên truyền, giáo dục lịch sử Đảng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”.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Chỉ thị số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CT/TU ngày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2008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của Ban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ường vụ Tỉnh ủy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ình Thuận (khóa XI)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về việc tiếp tục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đẩy mạnh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 nâng cao chất 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ượng công tác nghiên cứu, biên soạn lịch sử đảng bộ, lịch sử truyền thống các cấp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”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Chuyên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ề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ọc tập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làm theo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tưởng, đạo đức, phong cách Hồ Chí Minh.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Công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2189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CV/BTGTW,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của Ban Tuyên giáo Trung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“về tổ chức giao ban báo chí tại địa phương”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Đề án “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shd w:fill="auto" w:val="clear"/>
        </w:rPr>
        <w:t xml:space="preserve">ẩ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i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ạnh</w:t>
      </w:r>
      <w:r>
        <w:rPr>
          <w:rFonts w:ascii="Times New Roman" w:hAnsi="Times New Roman" w:cs="Times New Roman" w:eastAsia="Times New Roman"/>
          <w:i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công </w:t>
      </w:r>
      <w:r>
        <w:rPr>
          <w:rFonts w:ascii="Times New Roman" w:hAnsi="Times New Roman" w:cs="Times New Roman" w:eastAsia="Times New Roman"/>
          <w:i/>
          <w:color w:val="000000"/>
          <w:spacing w:val="1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ác nghi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ên cứu,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i/>
          <w:color w:val="000000"/>
          <w:spacing w:val="2"/>
          <w:position w:val="0"/>
          <w:sz w:val="28"/>
          <w:shd w:fill="auto" w:val="clear"/>
        </w:rPr>
        <w:t xml:space="preserve">ắ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shd w:fill="auto" w:val="clear"/>
        </w:rPr>
        <w:t xml:space="preserve">ắ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t và</w:t>
      </w:r>
      <w:r>
        <w:rPr>
          <w:rFonts w:ascii="Times New Roman" w:hAnsi="Times New Roman" w:cs="Times New Roman" w:eastAsia="Times New Roman"/>
          <w:i/>
          <w:color w:val="000000"/>
          <w:spacing w:val="-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xử lý </w:t>
      </w: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hông </w:t>
      </w: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in d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ư luận x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ã h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shd w:fill="auto" w:val="clear"/>
        </w:rPr>
        <w:t xml:space="preserve">ộ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i của ngành </w:t>
      </w: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i/>
          <w:color w:val="000000"/>
          <w:spacing w:val="2"/>
          <w:position w:val="0"/>
          <w:sz w:val="2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ên giáo </w:t>
      </w:r>
      <w:r>
        <w:rPr>
          <w:rFonts w:ascii="Times New Roman" w:hAnsi="Times New Roman" w:cs="Times New Roman" w:eastAsia="Times New Roman"/>
          <w:i/>
          <w:color w:val="000000"/>
          <w:spacing w:val="1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shd w:fill="auto" w:val="clear"/>
        </w:rPr>
        <w:t xml:space="preserve">ỉ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ình </w:t>
      </w: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huận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(ban hành theo Quyết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định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669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-QĐ/TU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2012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của Ban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ường vụ Tỉnh ủy)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ướng dẫn số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HD/BTGTW, ngày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của Ban Tuyên giáo Trung ương “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về xây dựng, kiện toàn đội ngũ báo cáo viên các cấp”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ướng dẫn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HD/BTGTW, 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về việc học tập một số tác phẩm của Chủ tịch Hồ Chí Minh trong sinh hoạt chi bộ, đoàn thể và các cơ quan, đơn vị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Kế hoạch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KH/TU, 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của Ban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vụ Tỉnh ủy về việc thực hiện Chỉ thị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-CT/TW của Bộ Chính trị về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"Đẩy mạnh học tập và làm theo tư tưởng, đạo đức, phong cách Hồ Chí Minh”.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Kế hoạch số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KH/TU, ngày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của Ban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ường vụ Tỉnh ủy về triển khai thực hiện Kết luận số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-KL/TW, ngày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của Ban Bí thư Trung ương Đảng.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Kế hoạch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KH/TU, 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của Ban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vụ Tỉnh ủy triển khai chuyên đề năm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Nghị quyế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NQ/TW,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Ban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Trung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khó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XII) “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về cả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chí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sá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Bả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hiể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xã hộ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Nghị quyết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NQ/TW, 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của Bộ Chính trị (khóa XI) về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“t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ăng cường sự 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ãnh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đạo của Đảng, tạo bước phát triển mạnh mẽ về thể dục, thể thao đến năm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2020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”.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Nghị quyết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NQ/TW, 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của Ban Chấp hành Trung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Đảng (khóa XI) về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“phát triển khoa học và công nghệ phục vụ sự nghiệp công nghiệp hóa, hiện đại hóa trong điều kiện kinh tế thị trường định hướng x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ã hội chủ nghĩa và hội nhập quốc tế”.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Nghị quyế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số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NQ/TW,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Ban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Trung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khó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XII)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về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tăng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cườ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ng công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tá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bả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vệ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chăm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só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và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nâng cao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sứ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khỏ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e nhân dân trong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tì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hì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mớ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”.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Nghị quyế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số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NQ/TW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Ban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Trung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khó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XII)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về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công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tá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 dân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số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trong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tì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hì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mớ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Nghị quyết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-NQ/TW, 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Nghị quyết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-NQ/TW, 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Nghị quyết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-NQ/TW, 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của Ban  Chấp hành Trung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Đảng khóa XII.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Nghị quyế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số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NQ/TW,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Ban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Trung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khó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XII) “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về cả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chí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sá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tiề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 lương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đố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vớ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bộ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công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c, viên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lự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lượ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vũ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trang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và ngườ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 lao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độ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ng trong doanh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nghiệ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p”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Nghị quyết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NQ/TW, 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của Ban Chấp hành Trung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Đảng (khoá XI)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về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“đổi mới căn bản toàn diện giáo dục và đào tạo, đáp ứng yêu cầu công nghiệp hóa, hiện đại hóa trong điều kiện kinh tế thị trường định hướng x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ã hội chủ nghĩa và hội nhập quốc tế”.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Quy chế hoạt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động của báo cáo vi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ên các cấp trong tỉnh nhiệm kỳ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(ban hành theo Quyết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định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234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-QĐ/TU,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của Ban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ường vụ Tỉnh ủy).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Quy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định số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04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QĐ/TU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của Ban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ường vụ Tỉnh ủy “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về việc quy định chức năng, nhiệm vụ,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hạ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n, tổ chức bộ máy và mối quan hệ công tác của Ban Tuyên giáo Tỉnh uỷ”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 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QĐ/TW,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của Ban Bí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Trung ương Đảng quy định về chức năng, nhiệm vụ, quyền hạn, tổ chức bộ máy cơ quan chuyên trách tham mưu, giúp việc tỉnh ủy, thành ủy.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Văn bản có ở ban của Tỉnh ủy hoặc truy cập mạng Internet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Quyết 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định số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185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- QĐ/TW, ng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03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2008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của Ban Bí th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ư Trung ương Đảng “</w:t>
      </w:r>
      <w:r>
        <w:rPr>
          <w:rFonts w:ascii="Times New Roman" w:hAnsi="Times New Roman" w:cs="Times New Roman" w:eastAsia="Times New Roman"/>
          <w:i/>
          <w:color w:val="auto"/>
          <w:spacing w:val="-6"/>
          <w:position w:val="0"/>
          <w:sz w:val="28"/>
          <w:shd w:fill="auto" w:val="clear"/>
        </w:rPr>
        <w:t xml:space="preserve">về chức năng, nhiệm vụ, tổ chức bộ máy của Trung tâm bồi dưỡng chính trị huyện, quận, thị x</w:t>
      </w:r>
      <w:r>
        <w:rPr>
          <w:rFonts w:ascii="Times New Roman" w:hAnsi="Times New Roman" w:cs="Times New Roman" w:eastAsia="Times New Roman"/>
          <w:i/>
          <w:color w:val="auto"/>
          <w:spacing w:val="-6"/>
          <w:position w:val="0"/>
          <w:sz w:val="28"/>
          <w:shd w:fill="auto" w:val="clear"/>
        </w:rPr>
        <w:t xml:space="preserve">ã, thành phố thuộc tỉnh”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Quyết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định số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QĐ/TW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08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của Bộ Chính trị “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về chức 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ăng, nhiệm vụ, quy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ề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hạ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n, tổ chức bộ máy của Ban Tuyên giáo Trung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ương”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1755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QĐ/TU,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của Ban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vụ Tỉnh uỷ về việc ban hành Quy chế quản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hoạt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động Trang thông tin điện tử (Website) Tỉnh uỷ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Thuận trên Internet.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Quyết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định số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179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QĐ/BTGTU,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của Ban Tuyên giáo Tỉnh ủy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về việc ban hành Quy chế làm việc của Ban Tuyên giáo Tỉnh ủy.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Tài liệu phục vụ học tập Cao cấp lý luận chính trị, môn Xây dựng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Đảng cộng sản Việt Nam – Học viện Chính trị Quốc gia Hồ Chí Minh,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nội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120" w:after="0" w:line="288"/>
        <w:ind w:right="0" w:left="1069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Tài liệu: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Một số vấn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đề về nghi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ên cứu, biên soạn lịch sử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đảng bộ địa phương, lịch sử ban ng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ành,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àn thể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Nxb Lý luận chính trị, Hà Nội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120" w:after="0" w:line="288"/>
        <w:ind w:right="0" w:left="106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Tài liệu: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Nghiệp vụ Tuyên giáo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dành cho cán bộ tuyên giáo các cấp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), Nxb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ăn hóa - Thông tin,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à Nội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2008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2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